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1C4595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404-02-9/2016-02/5</w:t>
            </w:r>
          </w:p>
          <w:p w:rsidR="009B4C14" w:rsidRPr="008F4A79" w:rsidRDefault="00376D47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C4595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.03</w:t>
            </w:r>
            <w:r w:rsidR="009B4C14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8F4A79" w:rsidRDefault="009B4C14" w:rsidP="009B4C1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EA2FC6">
        <w:rPr>
          <w:rFonts w:ascii="Times New Roman" w:hAnsi="Times New Roman"/>
          <w:b/>
          <w:sz w:val="28"/>
          <w:szCs w:val="28"/>
          <w:highlight w:val="cyan"/>
          <w:lang w:val="sr-Cyrl-RS"/>
        </w:rPr>
        <w:t>Одговор 1</w:t>
      </w:r>
      <w:r w:rsidRPr="008F4A79">
        <w:rPr>
          <w:rFonts w:ascii="Times New Roman" w:hAnsi="Times New Roman"/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9B4C14" w:rsidRPr="008F4A79" w:rsidRDefault="009B4C14" w:rsidP="009B4C14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8F4A79">
        <w:rPr>
          <w:rFonts w:ascii="Times New Roman" w:hAnsi="Times New Roman"/>
          <w:b/>
          <w:sz w:val="28"/>
          <w:szCs w:val="28"/>
          <w:lang w:val="sr-Cyrl-RS"/>
        </w:rPr>
        <w:t xml:space="preserve"> припремањем понуде</w:t>
      </w:r>
    </w:p>
    <w:p w:rsidR="009B4C14" w:rsidRPr="008F4A79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B14EA" w:rsidRPr="00FD5BC4" w:rsidRDefault="009B4C14" w:rsidP="00FD5BC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8F4A79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FD5BC4">
        <w:rPr>
          <w:rFonts w:ascii="Times New Roman" w:hAnsi="Times New Roman"/>
          <w:sz w:val="24"/>
          <w:szCs w:val="24"/>
          <w:lang w:val="sr-Cyrl-RS"/>
        </w:rPr>
        <w:t>У складу са чланом 63. став 3. Закона о јавним набавкама („Службени гласник РС” број 124/12</w:t>
      </w:r>
      <w:r w:rsidR="00827F03" w:rsidRPr="00FD5BC4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FD5BC4">
        <w:rPr>
          <w:rFonts w:ascii="Times New Roman" w:hAnsi="Times New Roman"/>
          <w:sz w:val="24"/>
          <w:szCs w:val="24"/>
          <w:lang w:val="sr-Cyrl-RS"/>
        </w:rPr>
        <w:t>, 68/15</w:t>
      </w:r>
      <w:r w:rsidRPr="00FD5BC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FD5BC4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Pr="00FD5B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hAnsi="Times New Roman"/>
          <w:b/>
          <w:sz w:val="24"/>
          <w:szCs w:val="24"/>
          <w:lang w:val="sr-Cyrl-RS"/>
        </w:rPr>
        <w:t>Одговор 1</w:t>
      </w:r>
      <w:r w:rsidRPr="00FD5BC4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</w:t>
      </w:r>
      <w:r w:rsidR="001C4595" w:rsidRPr="00FD5BC4">
        <w:rPr>
          <w:rFonts w:ascii="Times New Roman" w:hAnsi="Times New Roman"/>
          <w:sz w:val="24"/>
          <w:szCs w:val="24"/>
          <w:lang w:val="sr-Cyrl-RS"/>
        </w:rPr>
        <w:t>добара</w:t>
      </w:r>
      <w:r w:rsidR="00AA78D2" w:rsidRPr="00FD5B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4595" w:rsidRPr="00FD5BC4">
        <w:rPr>
          <w:rFonts w:ascii="Times New Roman" w:hAnsi="Times New Roman"/>
          <w:sz w:val="24"/>
          <w:szCs w:val="24"/>
          <w:lang w:val="sr-Cyrl-RS"/>
        </w:rPr>
        <w:t>- набавка комуникационе опреме за умрежавање образовних институција</w:t>
      </w:r>
      <w:r w:rsidR="001B14EA" w:rsidRPr="00FD5BC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4595" w:rsidRPr="00FD5BC4">
        <w:rPr>
          <w:rFonts w:ascii="Times New Roman" w:hAnsi="Times New Roman"/>
          <w:sz w:val="24"/>
          <w:szCs w:val="24"/>
          <w:lang w:val="sr-Cyrl-RS"/>
        </w:rPr>
        <w:t>број јавне набавке О-1/2016</w:t>
      </w:r>
      <w:r w:rsidR="001B14EA" w:rsidRPr="00FD5BC4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1B14EA" w:rsidRPr="00FD5BC4" w:rsidRDefault="001B14EA" w:rsidP="00FD5BC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353B70" w:rsidRPr="00FD5BC4" w:rsidRDefault="001B14EA" w:rsidP="00FD5BC4">
      <w:pPr>
        <w:pStyle w:val="Pasussalistom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u w:val="single"/>
          <w:lang w:val="sr-Cyrl-RS"/>
        </w:rPr>
      </w:pPr>
      <w:r w:rsidRPr="00FD5BC4">
        <w:rPr>
          <w:b/>
          <w:sz w:val="24"/>
          <w:szCs w:val="24"/>
          <w:u w:val="single"/>
          <w:lang w:val="sr-Cyrl-RS"/>
        </w:rPr>
        <w:t xml:space="preserve">Питање: </w:t>
      </w:r>
    </w:p>
    <w:p w:rsidR="00AA78D2" w:rsidRPr="00FD5BC4" w:rsidRDefault="00AA78D2" w:rsidP="00FD5BC4">
      <w:pPr>
        <w:spacing w:after="18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На страни број 46 конкурсне документације  наводите : </w:t>
      </w:r>
    </w:p>
    <w:p w:rsidR="00AA78D2" w:rsidRPr="00FD5BC4" w:rsidRDefault="00AA78D2" w:rsidP="00FD5BC4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AA78D2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 постојећем АМРЕС дата центру се користи VMware решење са vCenter лиценцом за управљање виртуелном инфраструктуром.</w:t>
      </w:r>
    </w:p>
    <w:p w:rsidR="00E65282" w:rsidRPr="00FD5BC4" w:rsidRDefault="00E65282" w:rsidP="00FD5BC4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AA78D2" w:rsidRPr="00FD5BC4" w:rsidRDefault="00AA78D2" w:rsidP="00E4145F">
      <w:pPr>
        <w:ind w:firstLine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Питање : </w:t>
      </w:r>
    </w:p>
    <w:p w:rsidR="00AA78D2" w:rsidRPr="00FD5BC4" w:rsidRDefault="00AA78D2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Колика је та постојећа виртуелна инфраструктура-окружење? Колико има хостова (њихове верзије ESXi-a),VMs,</w:t>
      </w:r>
      <w:r w:rsidR="00E4145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да ли постоји кластер? Који је vCenter сервер у питању (appliance или на windows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машини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E4145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верзија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)? </w:t>
      </w:r>
    </w:p>
    <w:p w:rsidR="00AA78D2" w:rsidRPr="00FD5BC4" w:rsidRDefault="00AA78D2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B0FF0" w:rsidRPr="00FD5BC4" w:rsidRDefault="00F547B7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У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постојећем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АМРЕС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1117C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datacentru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,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виртуелно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серверско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окружење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обухвата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само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један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кластер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: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8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(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хостова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)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инсталираним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ESXi 6.0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хипервизорима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1 vCenter Virtual Appliance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налази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једном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ових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8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хостова</w:t>
      </w:r>
    </w:p>
    <w:p w:rsidR="00F547B7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Око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60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виртуелних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машина</w:t>
      </w:r>
    </w:p>
    <w:p w:rsidR="00F547B7" w:rsidRPr="00FD5BC4" w:rsidRDefault="00F547B7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Такође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наводите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постојећа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vCenter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подржава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додавање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нових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vSphere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Планирано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нове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једноставно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интегришу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постојеће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решење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B25408" w:rsidRPr="00FD5BC4" w:rsidRDefault="00B25408" w:rsidP="00FD5BC4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AA78D2" w:rsidRPr="00FD5BC4" w:rsidRDefault="004F6A51" w:rsidP="00B84CB4">
      <w:pPr>
        <w:ind w:firstLine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Питање</w:t>
      </w:r>
      <w:r w:rsidR="00AA78D2"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:</w:t>
      </w:r>
    </w:p>
    <w:p w:rsidR="00AA78D2" w:rsidRPr="00FD5BC4" w:rsidRDefault="004F6A51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ово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подразумева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инсталацију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нових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5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сервера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постојећи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vCenter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сервер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  <w:r w:rsidR="00E4145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ће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ови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сервери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бити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новом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кластеру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ће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ако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постоји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кластер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додавати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постојећи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? </w:t>
      </w:r>
    </w:p>
    <w:p w:rsidR="00B84CB4" w:rsidRDefault="00B84CB4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</w:p>
    <w:p w:rsidR="00AA78D2" w:rsidRPr="00FD5BC4" w:rsidRDefault="00F547B7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1б: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Интерграција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нових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лиценци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у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решење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подразумева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инсталацију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нових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5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(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хостова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)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били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део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постојећег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кластера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ће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бити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контролисан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стране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постојећег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vCenter Virtual appliance-a.</w:t>
      </w:r>
    </w:p>
    <w:p w:rsidR="00AA78D2" w:rsidRPr="00FD5BC4" w:rsidRDefault="00AA78D2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Наводите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547B7" w:rsidRPr="00FD5BC4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сваки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сервер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треба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буде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испоручен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VMware vSphere 6.0 Standard </w:t>
      </w:r>
      <w:r w:rsidR="00E4145F">
        <w:rPr>
          <w:rFonts w:ascii="Times New Roman" w:eastAsiaTheme="minorHAnsi" w:hAnsi="Times New Roman"/>
          <w:sz w:val="24"/>
          <w:szCs w:val="24"/>
          <w:lang w:val="sr-Cyrl-RS"/>
        </w:rPr>
        <w:t>лиценцама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понуђени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број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процесора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B84CB4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треба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буду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испоручене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основном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подршком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произвођача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од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36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месеци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намењене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коришћење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академској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институцији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АМРЕС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A78D2" w:rsidRPr="00FD5BC4" w:rsidRDefault="004F6A51" w:rsidP="00B84CB4">
      <w:pPr>
        <w:ind w:firstLine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Питање</w:t>
      </w:r>
      <w:r w:rsidR="00AA78D2"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:</w:t>
      </w:r>
    </w:p>
    <w:p w:rsidR="00AA78D2" w:rsidRPr="00FD5BC4" w:rsidRDefault="00AA78D2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84CB4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ли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требају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Академске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Standard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или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обичне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Standard </w:t>
      </w:r>
      <w:r w:rsidR="004F6A51"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? </w:t>
      </w:r>
    </w:p>
    <w:p w:rsidR="00F547B7" w:rsidRPr="00FD5BC4" w:rsidRDefault="00F547B7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547B7" w:rsidRPr="00FD5BC4" w:rsidRDefault="00F547B7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 в)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Понуда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ће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сматрати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прихватљивом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било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понуде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Академске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standard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лиценце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или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обичне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Standard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лиценце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.</w:t>
      </w:r>
    </w:p>
    <w:p w:rsidR="00AA78D2" w:rsidRPr="00FD5BC4" w:rsidRDefault="00AA78D2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FD5BC4">
      <w:pPr>
        <w:pStyle w:val="Pasussalistom"/>
        <w:numPr>
          <w:ilvl w:val="0"/>
          <w:numId w:val="2"/>
        </w:numPr>
        <w:ind w:left="0" w:firstLine="0"/>
        <w:jc w:val="both"/>
        <w:rPr>
          <w:rFonts w:eastAsiaTheme="minorHAnsi"/>
          <w:sz w:val="24"/>
          <w:szCs w:val="24"/>
          <w:lang w:val="sr-Cyrl-RS"/>
        </w:rPr>
      </w:pPr>
      <w:r w:rsidRPr="00FD5BC4">
        <w:rPr>
          <w:rFonts w:eastAsiaTheme="minorHAnsi"/>
          <w:sz w:val="24"/>
          <w:szCs w:val="24"/>
          <w:lang w:val="sr-Cyrl-RS"/>
        </w:rPr>
        <w:t>На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страни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број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47 </w:t>
      </w:r>
      <w:r w:rsidRPr="00FD5BC4">
        <w:rPr>
          <w:rFonts w:eastAsiaTheme="minorHAnsi"/>
          <w:sz w:val="24"/>
          <w:szCs w:val="24"/>
          <w:lang w:val="sr-Cyrl-RS"/>
        </w:rPr>
        <w:t>конкурсне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документације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наводите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да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инсталација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подразумева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физичку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инсталацију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сервера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, </w:t>
      </w:r>
      <w:r w:rsidRPr="00FD5BC4">
        <w:rPr>
          <w:rFonts w:eastAsiaTheme="minorHAnsi"/>
          <w:sz w:val="24"/>
          <w:szCs w:val="24"/>
          <w:lang w:val="sr-Cyrl-RS"/>
        </w:rPr>
        <w:t>интеграцију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са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лиценцама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за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виртуелизацију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конфигурацију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складу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са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захтевима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наручиоца</w:t>
      </w:r>
      <w:r w:rsidR="00AA78D2" w:rsidRPr="00FD5BC4">
        <w:rPr>
          <w:rFonts w:eastAsiaTheme="minorHAnsi"/>
          <w:sz w:val="24"/>
          <w:szCs w:val="24"/>
          <w:lang w:val="sr-Cyrl-RS"/>
        </w:rPr>
        <w:t>.</w:t>
      </w:r>
      <w:r w:rsidR="00E6528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Опрему</w:t>
      </w:r>
      <w:r w:rsidR="00E6528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је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потребно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испоручити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инсталирати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у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АМРЕС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дата</w:t>
      </w:r>
      <w:r w:rsidR="00AA78D2" w:rsidRPr="00FD5BC4">
        <w:rPr>
          <w:rFonts w:eastAsiaTheme="minorHAnsi"/>
          <w:sz w:val="24"/>
          <w:szCs w:val="24"/>
          <w:lang w:val="sr-Cyrl-RS"/>
        </w:rPr>
        <w:t xml:space="preserve"> </w:t>
      </w:r>
      <w:r w:rsidRPr="00FD5BC4">
        <w:rPr>
          <w:rFonts w:eastAsiaTheme="minorHAnsi"/>
          <w:sz w:val="24"/>
          <w:szCs w:val="24"/>
          <w:lang w:val="sr-Cyrl-RS"/>
        </w:rPr>
        <w:t>центру</w:t>
      </w:r>
      <w:r w:rsidR="00AA78D2" w:rsidRPr="00FD5BC4">
        <w:rPr>
          <w:rFonts w:eastAsiaTheme="minorHAnsi"/>
          <w:sz w:val="24"/>
          <w:szCs w:val="24"/>
          <w:lang w:val="sr-Cyrl-RS"/>
        </w:rPr>
        <w:t>.</w:t>
      </w:r>
    </w:p>
    <w:p w:rsidR="00AA78D2" w:rsidRPr="00FD5BC4" w:rsidRDefault="00AA78D2" w:rsidP="00FD5BC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B84CB4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Питање</w:t>
      </w:r>
      <w:r w:rsidR="00AA78D2"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: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A78D2" w:rsidRPr="00FD5BC4" w:rsidRDefault="004F6A51" w:rsidP="00B84CB4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шта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овде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конкретно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мисли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интеграцијом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  <w:r w:rsidR="00376D47" w:rsidRPr="00FD5BC4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подразумева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ми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инсталирамо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ESXi 6.0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новим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серверима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?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Што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тиче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захтева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наручиоца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имају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неке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специјалне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захтеве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ако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их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има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</w:p>
    <w:p w:rsidR="00F547B7" w:rsidRPr="00FD5BC4" w:rsidRDefault="00F547B7" w:rsidP="00FD5BC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F4A79" w:rsidRPr="00FD5BC4" w:rsidRDefault="00F547B7" w:rsidP="00B84CB4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2а)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Интеграција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понуђених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лиценцама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виртуелизацију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подразумева</w:t>
      </w:r>
      <w:r w:rsidR="008F4A7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:</w:t>
      </w:r>
    </w:p>
    <w:p w:rsidR="008F4A79" w:rsidRPr="00FD5BC4" w:rsidRDefault="008F4A79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-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Инсталација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хипервизора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понуђене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сервере</w:t>
      </w:r>
    </w:p>
    <w:p w:rsidR="00F547B7" w:rsidRPr="00FD5BC4" w:rsidRDefault="008F4A79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-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Конфигурација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мрежних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адаптера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сервера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ESXi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хипервизора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у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складу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постојећом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SAN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инфраструктуром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.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SAN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инфраструктура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подразумева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коришћење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FcoE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протокола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комуникацију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ESXi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хостова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системом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376D47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.</w:t>
      </w:r>
    </w:p>
    <w:p w:rsidR="00AA78D2" w:rsidRPr="00FD5BC4" w:rsidRDefault="00AA78D2" w:rsidP="00FD5BC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FD5B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страни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број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43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2F0F81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44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конкурсне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документације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наводите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име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уређаја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Data centar svič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количини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од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2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комада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опис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истих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A78D2" w:rsidRPr="00FD5BC4" w:rsidRDefault="00AA78D2" w:rsidP="00FD5BC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4F6A51" w:rsidP="00B84CB4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>Питања</w:t>
      </w:r>
      <w:r w:rsidR="00AA78D2" w:rsidRPr="00FD5BC4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: </w:t>
      </w:r>
    </w:p>
    <w:p w:rsidR="00AA78D2" w:rsidRPr="00FD5BC4" w:rsidRDefault="00B84CB4" w:rsidP="00E4145F">
      <w:pPr>
        <w:spacing w:after="0" w:line="240" w:lineRule="auto"/>
        <w:ind w:firstLine="405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 xml:space="preserve">    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потребно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уређај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испоручити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већ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омогућеном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FCoE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функциналношћу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на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свим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портовима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или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довољно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уређај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има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могућност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будућу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F6A51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надоградњу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?</w:t>
      </w:r>
    </w:p>
    <w:p w:rsidR="00B84CB4" w:rsidRDefault="00B84CB4" w:rsidP="0086232A">
      <w:pPr>
        <w:pStyle w:val="Pasussalistom"/>
        <w:ind w:left="0"/>
        <w:jc w:val="both"/>
        <w:rPr>
          <w:rFonts w:eastAsiaTheme="minorHAnsi"/>
          <w:sz w:val="24"/>
          <w:szCs w:val="24"/>
          <w:highlight w:val="cyan"/>
          <w:lang w:val="sr-Cyrl-RS"/>
        </w:rPr>
      </w:pPr>
    </w:p>
    <w:p w:rsidR="00EF317A" w:rsidRPr="00FD5BC4" w:rsidRDefault="00EF317A" w:rsidP="00B84CB4">
      <w:pPr>
        <w:pStyle w:val="Pasussalistom"/>
        <w:ind w:left="0" w:firstLine="720"/>
        <w:jc w:val="both"/>
        <w:rPr>
          <w:rFonts w:eastAsiaTheme="minorHAnsi"/>
          <w:sz w:val="24"/>
          <w:szCs w:val="24"/>
          <w:lang w:val="sr-Cyrl-RS"/>
        </w:rPr>
      </w:pPr>
      <w:r w:rsidRPr="00FD5BC4">
        <w:rPr>
          <w:rFonts w:eastAsiaTheme="minorHAnsi"/>
          <w:sz w:val="24"/>
          <w:szCs w:val="24"/>
          <w:highlight w:val="cyan"/>
          <w:lang w:val="sr-Cyrl-RS"/>
        </w:rPr>
        <w:t xml:space="preserve">Одговор 3а):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Уређај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под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редним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бројем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1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тендерској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документацији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, Datacentar svič,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потребно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понудити</w:t>
      </w:r>
      <w:r w:rsidR="00E4145F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са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већ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омогућеном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FCoE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функционалношћу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свим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портовима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>.</w:t>
      </w:r>
    </w:p>
    <w:p w:rsidR="00EF317A" w:rsidRPr="00FD5BC4" w:rsidRDefault="00EF317A" w:rsidP="00FD5BC4">
      <w:pPr>
        <w:spacing w:after="0" w:line="240" w:lineRule="auto"/>
        <w:ind w:left="765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AA78D2" w:rsidRPr="00FD5BC4" w:rsidRDefault="004F6A51" w:rsidP="00B84CB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потребно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уређај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испоручити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4 40 GbE QSFP+ transivera,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ког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типа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?</w:t>
      </w:r>
    </w:p>
    <w:p w:rsidR="00EF317A" w:rsidRPr="00FD5BC4" w:rsidRDefault="00EF317A" w:rsidP="00FD5BC4">
      <w:pPr>
        <w:pStyle w:val="Pasussalistom"/>
        <w:ind w:left="765"/>
        <w:jc w:val="both"/>
        <w:rPr>
          <w:rFonts w:eastAsiaTheme="minorHAnsi"/>
          <w:sz w:val="24"/>
          <w:szCs w:val="24"/>
          <w:highlight w:val="cyan"/>
          <w:lang w:val="sr-Cyrl-RS"/>
        </w:rPr>
      </w:pPr>
    </w:p>
    <w:p w:rsidR="00EF317A" w:rsidRPr="00FD5BC4" w:rsidRDefault="00EF317A" w:rsidP="00E4145F">
      <w:pPr>
        <w:pStyle w:val="Pasussalistom"/>
        <w:ind w:left="0" w:firstLine="720"/>
        <w:jc w:val="both"/>
        <w:rPr>
          <w:rFonts w:eastAsiaTheme="minorHAnsi"/>
          <w:sz w:val="24"/>
          <w:szCs w:val="24"/>
          <w:lang w:val="sr-Cyrl-RS"/>
        </w:rPr>
      </w:pPr>
      <w:r w:rsidRPr="00FD5BC4">
        <w:rPr>
          <w:rFonts w:eastAsiaTheme="minorHAnsi"/>
          <w:sz w:val="24"/>
          <w:szCs w:val="24"/>
          <w:highlight w:val="cyan"/>
          <w:lang w:val="sr-Cyrl-RS"/>
        </w:rPr>
        <w:t xml:space="preserve">Одговор 3б):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Уколико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су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QSFP+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портови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предвиђени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за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повезивање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Datacentar svičeva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један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логички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svič (stack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конфигурацију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),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потребно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понуђене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уређаје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испоручити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са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свом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неопходном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опремом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за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међусобно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повезивање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,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укључујући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одговарајуће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QSFP+ transivere.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Уколико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међусобно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повезивање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Datacentar svičeva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један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логички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svič (stack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конфигурацију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) 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реализовано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други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начин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који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укључује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коришћење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QSFP+ portova,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није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неопходно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испоручити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QSFP+ transivere.</w:t>
      </w:r>
    </w:p>
    <w:p w:rsidR="00EF317A" w:rsidRPr="00FD5BC4" w:rsidRDefault="00EF317A" w:rsidP="00FD5BC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AA78D2" w:rsidRPr="00FD5BC4" w:rsidRDefault="004F6A51" w:rsidP="00B84CB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потребно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уређај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испоручити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већ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омогућеним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протоколима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: OSPF, OSPFv3, BGP, BGPv6, VRRP, PIM-SM, PIM-SSM,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или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довољно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уређај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има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могућност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будућу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надоградњу</w:t>
      </w:r>
      <w:r w:rsidR="00AA78D2" w:rsidRPr="00FD5BC4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?</w:t>
      </w:r>
    </w:p>
    <w:p w:rsidR="00F547B7" w:rsidRPr="00FD5BC4" w:rsidRDefault="00F547B7" w:rsidP="00FD5BC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F547B7" w:rsidRPr="00FD5BC4" w:rsidRDefault="00F547B7" w:rsidP="00B84CB4">
      <w:pPr>
        <w:pStyle w:val="Pasussalistom"/>
        <w:ind w:left="0" w:firstLine="720"/>
        <w:jc w:val="both"/>
        <w:rPr>
          <w:rFonts w:eastAsiaTheme="minorHAnsi"/>
          <w:sz w:val="24"/>
          <w:szCs w:val="24"/>
          <w:lang w:val="sr-Cyrl-RS"/>
        </w:rPr>
      </w:pPr>
      <w:r w:rsidRPr="00FD5BC4">
        <w:rPr>
          <w:rFonts w:eastAsiaTheme="minorHAnsi"/>
          <w:sz w:val="24"/>
          <w:szCs w:val="24"/>
          <w:highlight w:val="cyan"/>
          <w:lang w:val="sr-Cyrl-RS"/>
        </w:rPr>
        <w:t>Одговор</w:t>
      </w:r>
      <w:r w:rsidR="00EF317A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3в</w:t>
      </w:r>
      <w:r w:rsidR="002F0F81" w:rsidRPr="00FD5BC4">
        <w:rPr>
          <w:rFonts w:eastAsiaTheme="minorHAnsi"/>
          <w:sz w:val="24"/>
          <w:szCs w:val="24"/>
          <w:highlight w:val="cyan"/>
          <w:lang w:val="sr-Cyrl-RS"/>
        </w:rPr>
        <w:t>)</w:t>
      </w:r>
      <w:r w:rsidRPr="00FD5BC4">
        <w:rPr>
          <w:rFonts w:eastAsiaTheme="minorHAnsi"/>
          <w:sz w:val="24"/>
          <w:szCs w:val="24"/>
          <w:highlight w:val="cyan"/>
          <w:lang w:val="sr-Cyrl-RS"/>
        </w:rPr>
        <w:t xml:space="preserve">: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потребно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је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да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испоручени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уређај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има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већ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омогућене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eastAsiaTheme="minorHAnsi"/>
          <w:sz w:val="24"/>
          <w:szCs w:val="24"/>
          <w:highlight w:val="cyan"/>
          <w:lang w:val="sr-Cyrl-RS"/>
        </w:rPr>
        <w:t>протоколе</w:t>
      </w:r>
      <w:r w:rsidR="00111F39" w:rsidRPr="00FD5BC4">
        <w:rPr>
          <w:rFonts w:eastAsiaTheme="minorHAnsi"/>
          <w:sz w:val="24"/>
          <w:szCs w:val="24"/>
          <w:highlight w:val="cyan"/>
          <w:lang w:val="sr-Cyrl-RS"/>
        </w:rPr>
        <w:t>: OSPF, OSPFv3, BGP, BGPv6, VRRP, PIM-SM, PIM-SSM.</w:t>
      </w:r>
    </w:p>
    <w:p w:rsidR="00F547B7" w:rsidRPr="00FD5BC4" w:rsidRDefault="00F547B7" w:rsidP="00FD5BC4">
      <w:pPr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FD5BC4" w:rsidRDefault="00B4229E" w:rsidP="00FD5B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страни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број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45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конкурсне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документације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наводите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име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уређаја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Проширење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система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количини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од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1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комад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описом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306F2" w:rsidRPr="000306F2" w:rsidRDefault="000306F2" w:rsidP="000306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B4229E" w:rsidP="000306F2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 w:rsidRPr="00FD5BC4">
        <w:rPr>
          <w:rFonts w:ascii="Times New Roman" w:eastAsiaTheme="minorEastAsia" w:hAnsi="Times New Roman"/>
          <w:b/>
          <w:sz w:val="24"/>
          <w:szCs w:val="24"/>
          <w:lang w:val="sr-Cyrl-RS"/>
        </w:rPr>
        <w:t>Питања</w:t>
      </w:r>
      <w:r w:rsidR="00AA78D2" w:rsidRPr="00FD5BC4">
        <w:rPr>
          <w:rFonts w:ascii="Times New Roman" w:eastAsiaTheme="minorEastAsia" w:hAnsi="Times New Roman"/>
          <w:b/>
          <w:sz w:val="24"/>
          <w:szCs w:val="24"/>
          <w:lang w:val="sr-Cyrl-RS"/>
        </w:rPr>
        <w:t>:</w:t>
      </w:r>
    </w:p>
    <w:p w:rsidR="00AA78D2" w:rsidRPr="00FD5BC4" w:rsidRDefault="00B4229E" w:rsidP="000306F2">
      <w:pPr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Да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ли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ће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проширење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система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бити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унутар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истог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rack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ормана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где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тренутно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налази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систем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3Par 7400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проширује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(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ово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потребно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како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би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специфицирала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адекватна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дужина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потребних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EastAsia" w:hAnsi="Times New Roman"/>
          <w:sz w:val="24"/>
          <w:szCs w:val="24"/>
          <w:lang w:val="sr-Cyrl-RS"/>
        </w:rPr>
        <w:t>каблова</w:t>
      </w:r>
      <w:r w:rsidR="00AA78D2" w:rsidRPr="00FD5BC4">
        <w:rPr>
          <w:rFonts w:ascii="Times New Roman" w:eastAsiaTheme="minorEastAsia" w:hAnsi="Times New Roman"/>
          <w:sz w:val="24"/>
          <w:szCs w:val="24"/>
          <w:lang w:val="sr-Cyrl-RS"/>
        </w:rPr>
        <w:t>)?</w:t>
      </w:r>
    </w:p>
    <w:p w:rsidR="00F547B7" w:rsidRPr="000306F2" w:rsidRDefault="00F547B7" w:rsidP="000306F2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4а)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Проширење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ће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бити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инсталирано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у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оквиру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D1604C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истог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rek ormana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где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тренутно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налази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3PAR 7400.</w:t>
      </w:r>
    </w:p>
    <w:p w:rsidR="00AA78D2" w:rsidRPr="00FD5BC4" w:rsidRDefault="00B4229E" w:rsidP="000306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серијски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број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система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3Par 7400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проширује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</w:p>
    <w:p w:rsidR="00F547B7" w:rsidRPr="00FD5BC4" w:rsidRDefault="00F547B7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547B7" w:rsidRPr="00FD5BC4" w:rsidRDefault="00F547B7" w:rsidP="000306F2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4б)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Серијски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постојећег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је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1623450</w:t>
      </w:r>
    </w:p>
    <w:p w:rsidR="00F547B7" w:rsidRPr="00FD5BC4" w:rsidRDefault="00F547B7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547B7" w:rsidRPr="00FD5BC4" w:rsidRDefault="00F547B7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B4229E" w:rsidP="000306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тачно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лиценце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поседује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тренутно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систем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предмет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проширења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B0FF0" w:rsidRPr="00FD5BC4" w:rsidRDefault="00F547B7" w:rsidP="000306F2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4в)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</w:t>
      </w:r>
      <w:r w:rsidR="000306F2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т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ојећи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садржи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следеће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лиценце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: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111F3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HP 3PAR 7400 Adaptive Opt Base E-LTU,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каталошки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BC787AAE,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количина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комад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111F3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HP 3PAR 7400 Adaptive Opt Drive E-LTU,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каталошки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BC788AAE,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количина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44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комада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111F3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HP 3PAR 7400 Reporting Suite E-LTU,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каталошки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BC795BAE,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количина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комад</w:t>
      </w:r>
    </w:p>
    <w:p w:rsidR="00BB0FF0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111F3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HP 3PAR 7400 OS Suite Base E-LTU,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каталошки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BC773BAE,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количина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1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комад</w:t>
      </w:r>
    </w:p>
    <w:p w:rsidR="00F547B7" w:rsidRPr="00FD5BC4" w:rsidRDefault="00BB0FF0" w:rsidP="00FD5BC4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-</w:t>
      </w:r>
      <w:r w:rsidR="00111F39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HP 3PAR 7400 OS Suite Drive E-LTU,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каталошки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број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BC774AAE,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количина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44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комада</w:t>
      </w: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B4229E" w:rsidP="000306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тачан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број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дискова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диск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полица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тренутно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налазе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систему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складиштење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података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3Par 7400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проширује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</w:p>
    <w:p w:rsidR="00F547B7" w:rsidRPr="00FD5BC4" w:rsidRDefault="00F547B7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547B7" w:rsidRPr="00FD5BC4" w:rsidRDefault="00F547B7" w:rsidP="0031117C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4г)</w:t>
      </w:r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: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података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састоји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једне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централне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јединице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садржи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два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контролера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24 2.5“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додатне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полице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садржи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20 3.5“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.</w:t>
      </w: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A78D2" w:rsidRPr="00FD5BC4" w:rsidRDefault="00B4229E" w:rsidP="000306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типови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дискова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тренутно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систему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који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предмет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D5BC4">
        <w:rPr>
          <w:rFonts w:ascii="Times New Roman" w:eastAsiaTheme="minorHAnsi" w:hAnsi="Times New Roman"/>
          <w:sz w:val="24"/>
          <w:szCs w:val="24"/>
          <w:lang w:val="sr-Cyrl-RS"/>
        </w:rPr>
        <w:t>проширења</w:t>
      </w:r>
      <w:r w:rsidR="00AA78D2" w:rsidRPr="00FD5BC4">
        <w:rPr>
          <w:rFonts w:ascii="Times New Roman" w:eastAsiaTheme="minorHAnsi" w:hAnsi="Times New Roman"/>
          <w:sz w:val="24"/>
          <w:szCs w:val="24"/>
          <w:lang w:val="sr-Cyrl-RS"/>
        </w:rPr>
        <w:t>?</w:t>
      </w: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547B7" w:rsidRPr="00FD5BC4" w:rsidRDefault="00F547B7" w:rsidP="0031117C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bookmarkStart w:id="0" w:name="_GoBack"/>
      <w:bookmarkEnd w:id="0"/>
      <w:r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Одговор</w:t>
      </w:r>
      <w:r w:rsidR="002F0F81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4д)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:</w:t>
      </w:r>
      <w:r w:rsidR="000306F2">
        <w:rPr>
          <w:rFonts w:ascii="Times New Roman" w:eastAsiaTheme="minorHAnsi" w:hAnsi="Times New Roman"/>
          <w:sz w:val="24"/>
          <w:szCs w:val="24"/>
          <w:highlight w:val="cyan"/>
          <w:lang w:val="sr-Latn-RS"/>
        </w:rPr>
        <w:t xml:space="preserve"> 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Постојећи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систем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за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складиштење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садржи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укупно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44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,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од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којих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су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24 2.5“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дискова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типа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SAS 10k 600GB i 20 3.5“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дискова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</w:t>
      </w:r>
      <w:r w:rsidR="00FD5BC4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>типа</w:t>
      </w:r>
      <w:r w:rsidR="00BB0FF0" w:rsidRPr="00FD5BC4">
        <w:rPr>
          <w:rFonts w:ascii="Times New Roman" w:eastAsiaTheme="minorHAnsi" w:hAnsi="Times New Roman"/>
          <w:sz w:val="24"/>
          <w:szCs w:val="24"/>
          <w:highlight w:val="cyan"/>
          <w:lang w:val="sr-Cyrl-RS"/>
        </w:rPr>
        <w:t xml:space="preserve"> NL-SAS 7.2k 4GB.</w:t>
      </w:r>
    </w:p>
    <w:p w:rsidR="00AA78D2" w:rsidRPr="00FD5BC4" w:rsidRDefault="00AA78D2" w:rsidP="00FD5B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A7369B" w:rsidRPr="00FD5BC4" w:rsidRDefault="00A7369B" w:rsidP="00FD5BC4">
      <w:pPr>
        <w:pStyle w:val="Pasussalistom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</w:p>
    <w:sectPr w:rsidR="00A7369B" w:rsidRPr="00FD5BC4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34" w:rsidRDefault="000B6834" w:rsidP="000931F1">
      <w:pPr>
        <w:spacing w:after="0" w:line="240" w:lineRule="auto"/>
      </w:pPr>
      <w:r>
        <w:separator/>
      </w:r>
    </w:p>
  </w:endnote>
  <w:endnote w:type="continuationSeparator" w:id="0">
    <w:p w:rsidR="000B6834" w:rsidRDefault="000B6834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C" w:rsidRDefault="00D1604C">
    <w:pPr>
      <w:pStyle w:val="Podnojestranice"/>
      <w:jc w:val="right"/>
    </w:pPr>
    <w:r>
      <w:t xml:space="preserve">Страна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1117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од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1117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D1604C" w:rsidRDefault="00D1604C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34" w:rsidRDefault="000B6834" w:rsidP="000931F1">
      <w:pPr>
        <w:spacing w:after="0" w:line="240" w:lineRule="auto"/>
      </w:pPr>
      <w:r>
        <w:separator/>
      </w:r>
    </w:p>
  </w:footnote>
  <w:footnote w:type="continuationSeparator" w:id="0">
    <w:p w:rsidR="000B6834" w:rsidRDefault="000B6834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12FF6"/>
    <w:rsid w:val="000306F2"/>
    <w:rsid w:val="00070DEA"/>
    <w:rsid w:val="000931F1"/>
    <w:rsid w:val="000B6834"/>
    <w:rsid w:val="000C6D02"/>
    <w:rsid w:val="000E612A"/>
    <w:rsid w:val="000F12C7"/>
    <w:rsid w:val="000F1DB5"/>
    <w:rsid w:val="00101FD2"/>
    <w:rsid w:val="00111F39"/>
    <w:rsid w:val="00162CA4"/>
    <w:rsid w:val="001B14EA"/>
    <w:rsid w:val="001C4595"/>
    <w:rsid w:val="002373D5"/>
    <w:rsid w:val="00267952"/>
    <w:rsid w:val="00293DCA"/>
    <w:rsid w:val="002D0023"/>
    <w:rsid w:val="002F0F81"/>
    <w:rsid w:val="002F5DFA"/>
    <w:rsid w:val="0031117C"/>
    <w:rsid w:val="00353B70"/>
    <w:rsid w:val="00376D47"/>
    <w:rsid w:val="003A47CD"/>
    <w:rsid w:val="003B34AB"/>
    <w:rsid w:val="003B3589"/>
    <w:rsid w:val="004517DB"/>
    <w:rsid w:val="0049753D"/>
    <w:rsid w:val="004C0BD1"/>
    <w:rsid w:val="004F6A51"/>
    <w:rsid w:val="00506BBE"/>
    <w:rsid w:val="005156E6"/>
    <w:rsid w:val="00565125"/>
    <w:rsid w:val="005937E8"/>
    <w:rsid w:val="00612B3D"/>
    <w:rsid w:val="00635571"/>
    <w:rsid w:val="006520B8"/>
    <w:rsid w:val="00671334"/>
    <w:rsid w:val="0068492F"/>
    <w:rsid w:val="007359B1"/>
    <w:rsid w:val="00776499"/>
    <w:rsid w:val="007840B8"/>
    <w:rsid w:val="00815767"/>
    <w:rsid w:val="00827F03"/>
    <w:rsid w:val="0083401D"/>
    <w:rsid w:val="008475FB"/>
    <w:rsid w:val="0086232A"/>
    <w:rsid w:val="008977A1"/>
    <w:rsid w:val="008A443D"/>
    <w:rsid w:val="008B052E"/>
    <w:rsid w:val="008F4A79"/>
    <w:rsid w:val="009036C4"/>
    <w:rsid w:val="00907DBD"/>
    <w:rsid w:val="00923FE3"/>
    <w:rsid w:val="00926E53"/>
    <w:rsid w:val="00995C30"/>
    <w:rsid w:val="009B4C14"/>
    <w:rsid w:val="009D1C47"/>
    <w:rsid w:val="00A06BF7"/>
    <w:rsid w:val="00A47E94"/>
    <w:rsid w:val="00A7369B"/>
    <w:rsid w:val="00AA01FC"/>
    <w:rsid w:val="00AA78D2"/>
    <w:rsid w:val="00B24826"/>
    <w:rsid w:val="00B25408"/>
    <w:rsid w:val="00B4229E"/>
    <w:rsid w:val="00B84CB4"/>
    <w:rsid w:val="00BB0FF0"/>
    <w:rsid w:val="00BC34BA"/>
    <w:rsid w:val="00BD2515"/>
    <w:rsid w:val="00C4756D"/>
    <w:rsid w:val="00C722F4"/>
    <w:rsid w:val="00CE4079"/>
    <w:rsid w:val="00D1604C"/>
    <w:rsid w:val="00D22F38"/>
    <w:rsid w:val="00D73AAB"/>
    <w:rsid w:val="00E06F79"/>
    <w:rsid w:val="00E12500"/>
    <w:rsid w:val="00E4145F"/>
    <w:rsid w:val="00E65282"/>
    <w:rsid w:val="00EA2FC6"/>
    <w:rsid w:val="00ED0DC2"/>
    <w:rsid w:val="00ED52D1"/>
    <w:rsid w:val="00EF317A"/>
    <w:rsid w:val="00F06338"/>
    <w:rsid w:val="00F547B7"/>
    <w:rsid w:val="00FA5BC7"/>
    <w:rsid w:val="00FC34BB"/>
    <w:rsid w:val="00FD342A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6BDF-72A4-4103-AA7E-3EBAAFD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</cp:lastModifiedBy>
  <cp:revision>46</cp:revision>
  <cp:lastPrinted>2016-03-07T14:10:00Z</cp:lastPrinted>
  <dcterms:created xsi:type="dcterms:W3CDTF">2015-04-07T06:39:00Z</dcterms:created>
  <dcterms:modified xsi:type="dcterms:W3CDTF">2016-03-10T08:56:00Z</dcterms:modified>
</cp:coreProperties>
</file>